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eastAsia="方正小标宋简体"/>
          <w:bCs w:val="0"/>
          <w:color w:val="auto"/>
          <w:sz w:val="36"/>
          <w:szCs w:val="36"/>
        </w:rPr>
      </w:pPr>
      <w:r>
        <w:rPr>
          <w:rStyle w:val="9"/>
          <w:rFonts w:eastAsia="方正小标宋简体"/>
          <w:b w:val="0"/>
          <w:color w:val="auto"/>
          <w:sz w:val="36"/>
          <w:szCs w:val="36"/>
        </w:rPr>
        <w:t>浙江省科学技术奖公示信息表</w:t>
      </w:r>
      <w:r>
        <w:rPr>
          <w:rStyle w:val="9"/>
          <w:rFonts w:eastAsia="仿宋_GB2312"/>
          <w:b w:val="0"/>
          <w:color w:val="auto"/>
          <w:sz w:val="32"/>
          <w:szCs w:val="32"/>
        </w:rPr>
        <w:t>（单位提名）</w:t>
      </w:r>
    </w:p>
    <w:p>
      <w:pPr>
        <w:spacing w:line="440" w:lineRule="exact"/>
        <w:rPr>
          <w:rFonts w:eastAsia="仿宋_GB2312"/>
          <w:color w:val="auto"/>
          <w:sz w:val="28"/>
          <w:szCs w:val="24"/>
        </w:rPr>
      </w:pPr>
      <w:r>
        <w:rPr>
          <w:rFonts w:eastAsia="仿宋_GB2312"/>
          <w:color w:val="auto"/>
          <w:sz w:val="28"/>
          <w:szCs w:val="24"/>
        </w:rPr>
        <w:t>提名奖项：</w:t>
      </w:r>
      <w:r>
        <w:rPr>
          <w:rFonts w:hint="eastAsia" w:eastAsia="仿宋_GB2312"/>
          <w:color w:val="auto"/>
          <w:sz w:val="28"/>
          <w:szCs w:val="24"/>
        </w:rPr>
        <w:t>科学技术进步奖</w:t>
      </w:r>
    </w:p>
    <w:tbl>
      <w:tblPr>
        <w:tblStyle w:val="7"/>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Style w:val="9"/>
                <w:rFonts w:eastAsia="仿宋_GB2312"/>
                <w:b w:val="0"/>
                <w:color w:val="auto"/>
                <w:sz w:val="28"/>
              </w:rPr>
            </w:pPr>
            <w:r>
              <w:rPr>
                <w:rStyle w:val="9"/>
                <w:rFonts w:eastAsia="仿宋_GB2312"/>
                <w:b w:val="0"/>
                <w:bCs w:val="0"/>
                <w:color w:val="auto"/>
                <w:sz w:val="28"/>
              </w:rPr>
              <w:t>成果名称</w:t>
            </w:r>
          </w:p>
        </w:tc>
        <w:tc>
          <w:tcPr>
            <w:tcW w:w="6237" w:type="dxa"/>
            <w:vAlign w:val="center"/>
          </w:tcPr>
          <w:p>
            <w:pPr>
              <w:jc w:val="center"/>
              <w:rPr>
                <w:rStyle w:val="9"/>
                <w:rFonts w:eastAsia="仿宋_GB2312"/>
                <w:b w:val="0"/>
                <w:color w:val="auto"/>
                <w:sz w:val="28"/>
              </w:rPr>
            </w:pPr>
            <w:r>
              <w:rPr>
                <w:rStyle w:val="9"/>
                <w:rFonts w:hint="eastAsia" w:eastAsia="仿宋_GB2312"/>
                <w:b w:val="0"/>
                <w:color w:val="auto"/>
                <w:sz w:val="28"/>
              </w:rPr>
              <w:t>大规模绿电市场化交易关键技术与应用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Style w:val="9"/>
                <w:rFonts w:eastAsia="仿宋_GB2312"/>
                <w:b w:val="0"/>
                <w:color w:val="auto"/>
                <w:sz w:val="28"/>
              </w:rPr>
            </w:pPr>
            <w:r>
              <w:rPr>
                <w:rStyle w:val="9"/>
                <w:rFonts w:eastAsia="仿宋_GB2312"/>
                <w:b w:val="0"/>
                <w:bCs w:val="0"/>
                <w:color w:val="auto"/>
                <w:sz w:val="28"/>
              </w:rPr>
              <w:t>提名等级</w:t>
            </w:r>
          </w:p>
        </w:tc>
        <w:tc>
          <w:tcPr>
            <w:tcW w:w="6237" w:type="dxa"/>
            <w:vAlign w:val="center"/>
          </w:tcPr>
          <w:p>
            <w:pPr>
              <w:jc w:val="center"/>
              <w:rPr>
                <w:rStyle w:val="9"/>
                <w:rFonts w:eastAsia="仿宋_GB2312"/>
                <w:b w:val="0"/>
                <w:color w:val="auto"/>
                <w:sz w:val="28"/>
              </w:rPr>
            </w:pPr>
            <w:r>
              <w:rPr>
                <w:rStyle w:val="9"/>
                <w:rFonts w:hint="eastAsia" w:eastAsia="仿宋_GB2312"/>
                <w:b w:val="0"/>
                <w:color w:val="auto"/>
                <w:sz w:val="28"/>
              </w:rPr>
              <w:t>一等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6237" w:type="dxa"/>
            <w:vAlign w:val="center"/>
          </w:tcPr>
          <w:p>
            <w:pPr>
              <w:spacing w:line="440" w:lineRule="exact"/>
              <w:jc w:val="left"/>
              <w:rPr>
                <w:rFonts w:eastAsia="仿宋_GB2312"/>
                <w:bCs/>
                <w:color w:val="auto"/>
                <w:sz w:val="24"/>
                <w:szCs w:val="24"/>
              </w:rPr>
            </w:pPr>
            <w:r>
              <w:rPr>
                <w:rFonts w:hint="eastAsia" w:ascii="Times New Roman" w:hAnsi="Times New Roman" w:eastAsia="仿宋_GB2312" w:cs="Times New Roman"/>
                <w:bCs/>
                <w:color w:val="auto"/>
                <w:sz w:val="24"/>
                <w:szCs w:val="24"/>
              </w:rPr>
              <w:t>科学技术进步奖：提名书的主要知识产权和标准规范目录、代表性论文专著目录见附表1、附表2。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tcBorders>
              <w:left w:val="single" w:color="auto" w:sz="4" w:space="0"/>
            </w:tcBorders>
            <w:vAlign w:val="center"/>
          </w:tcPr>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潘巍巍，排名1，教授级高级工程师，国网浙江省电力有限公司；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徐奇锋，排名2，教授级高级工程师，国网浙江省电力有限公司；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牛东晓，排名3，教授，华北电力大学；</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张燕，排名4，教授级高级工程师，国网浙江省电力有限公司杭州供电公司；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王激华，排名5，教授级高级工程师，国网浙江省电力有限公司湖州供电公司；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王栋，排名6，教授级高级工程师，国网区块链科技（北京）有限公司；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乔松博，排名7，高级工程师，浙江电力交易中心有限公司；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徐立中，排名8，高级工程师，国网浙江省电力有限公司；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俞静，排名9，高级工程师，浙江华云信息科技有限公司；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陈昊，排名10，高级工程师，浙江电力交易中心有限公司；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邓晖，排名11，高级工程师，浙江电力交易中心有限公司；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纪德良，排名12，教授级高级工程师，浙江华云信息科技有限公司；</w:t>
            </w:r>
          </w:p>
          <w:p>
            <w:pPr>
              <w:spacing w:line="440" w:lineRule="exact"/>
              <w:jc w:val="left"/>
              <w:rPr>
                <w:rFonts w:eastAsia="仿宋_GB2312"/>
                <w:bCs/>
                <w:color w:val="auto"/>
                <w:sz w:val="24"/>
                <w:szCs w:val="24"/>
              </w:rPr>
            </w:pPr>
            <w:r>
              <w:rPr>
                <w:rFonts w:hint="eastAsia" w:ascii="Times New Roman" w:hAnsi="Times New Roman" w:eastAsia="仿宋_GB2312" w:cs="Times New Roman"/>
                <w:bCs/>
                <w:color w:val="auto"/>
                <w:sz w:val="24"/>
                <w:szCs w:val="24"/>
              </w:rPr>
              <w:t>罗仁杰，排名13，博士研究生，浙江大学</w:t>
            </w:r>
            <w:r>
              <w:rPr>
                <w:rFonts w:hint="eastAsia" w:ascii="Times New Roman" w:hAnsi="Times New Roman" w:eastAsia="仿宋_GB2312" w:cs="Times New Roman"/>
                <w:bCs/>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6237" w:type="dxa"/>
            <w:tcBorders>
              <w:left w:val="single" w:color="auto" w:sz="4" w:space="0"/>
            </w:tcBorders>
            <w:vAlign w:val="center"/>
          </w:tcPr>
          <w:p>
            <w:pPr>
              <w:spacing w:line="440" w:lineRule="exact"/>
              <w:jc w:val="left"/>
              <w:rPr>
                <w:rFonts w:hint="eastAsia" w:ascii="Times New Roman" w:hAnsi="Times New Roman" w:eastAsia="仿宋_GB2312" w:cs="Times New Roman"/>
                <w:bCs/>
                <w:color w:val="auto"/>
                <w:sz w:val="24"/>
                <w:szCs w:val="24"/>
              </w:rPr>
            </w:pPr>
            <w:r>
              <w:rPr>
                <w:rFonts w:hint="eastAsia" w:eastAsia="仿宋_GB2312"/>
                <w:bCs/>
                <w:color w:val="auto"/>
                <w:sz w:val="24"/>
                <w:szCs w:val="24"/>
              </w:rPr>
              <w:t>1</w:t>
            </w:r>
            <w:r>
              <w:rPr>
                <w:rFonts w:hint="eastAsia" w:ascii="Times New Roman" w:hAnsi="Times New Roman" w:eastAsia="仿宋_GB2312" w:cs="Times New Roman"/>
                <w:bCs/>
                <w:color w:val="auto"/>
                <w:sz w:val="24"/>
                <w:szCs w:val="24"/>
              </w:rPr>
              <w:t>.国网浙江省电力有限公司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2.浙江电力交易中心有限公司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3.华北电力大学</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4.浙江大学</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5.浙江华云信息科技有限公司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6.国网区块链科技（北京）有限公司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7.浙江正泰新能源开发有限公司</w:t>
            </w:r>
          </w:p>
          <w:p>
            <w:pPr>
              <w:spacing w:line="440" w:lineRule="exact"/>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8.国网浙江省电力有限公司杭州供电公司</w:t>
            </w:r>
          </w:p>
          <w:p>
            <w:pPr>
              <w:spacing w:line="440" w:lineRule="exact"/>
              <w:jc w:val="left"/>
              <w:rPr>
                <w:rFonts w:eastAsia="仿宋"/>
                <w:bCs/>
                <w:color w:val="auto"/>
                <w:sz w:val="24"/>
                <w:szCs w:val="24"/>
              </w:rPr>
            </w:pPr>
            <w:r>
              <w:rPr>
                <w:rFonts w:hint="eastAsia" w:ascii="Times New Roman" w:hAnsi="Times New Roman" w:eastAsia="仿宋_GB2312" w:cs="Times New Roman"/>
                <w:bCs/>
                <w:color w:val="auto"/>
                <w:sz w:val="24"/>
                <w:szCs w:val="24"/>
              </w:rPr>
              <w:t>9.国网浙江省电力有限公司丽水供电公司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jc w:val="center"/>
              <w:rPr>
                <w:rStyle w:val="9"/>
                <w:rFonts w:eastAsia="仿宋_GB2312"/>
                <w:b w:val="0"/>
                <w:color w:val="auto"/>
                <w:sz w:val="28"/>
                <w:szCs w:val="28"/>
              </w:rPr>
            </w:pPr>
            <w:r>
              <w:rPr>
                <w:rStyle w:val="9"/>
                <w:rFonts w:eastAsia="仿宋_GB2312"/>
                <w:b w:val="0"/>
                <w:color w:val="auto"/>
                <w:sz w:val="28"/>
                <w:szCs w:val="28"/>
              </w:rPr>
              <w:t>提名单位</w:t>
            </w:r>
          </w:p>
        </w:tc>
        <w:tc>
          <w:tcPr>
            <w:tcW w:w="6237" w:type="dxa"/>
            <w:vAlign w:val="center"/>
          </w:tcPr>
          <w:p>
            <w:pPr>
              <w:contextualSpacing/>
              <w:jc w:val="center"/>
              <w:rPr>
                <w:rStyle w:val="9"/>
                <w:b w:val="0"/>
                <w:color w:val="auto"/>
              </w:rPr>
            </w:pPr>
            <w:r>
              <w:rPr>
                <w:rStyle w:val="9"/>
                <w:rFonts w:hint="eastAsia"/>
                <w:b w:val="0"/>
                <w:color w:val="auto"/>
              </w:rPr>
              <w:t>浙江省电力学会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jc w:val="center"/>
              <w:rPr>
                <w:rStyle w:val="9"/>
                <w:rFonts w:eastAsia="仿宋_GB2312"/>
                <w:b w:val="0"/>
                <w:color w:val="auto"/>
                <w:sz w:val="28"/>
                <w:szCs w:val="28"/>
              </w:rPr>
            </w:pPr>
            <w:r>
              <w:rPr>
                <w:rStyle w:val="9"/>
                <w:rFonts w:eastAsia="仿宋_GB2312"/>
                <w:b w:val="0"/>
                <w:color w:val="auto"/>
                <w:sz w:val="28"/>
                <w:szCs w:val="28"/>
              </w:rPr>
              <w:t>提名意见</w:t>
            </w:r>
          </w:p>
        </w:tc>
        <w:tc>
          <w:tcPr>
            <w:tcW w:w="6237" w:type="dxa"/>
            <w:vAlign w:val="center"/>
          </w:tcPr>
          <w:p>
            <w:pPr>
              <w:spacing w:line="440" w:lineRule="exact"/>
              <w:ind w:firstLine="480" w:firstLineChars="200"/>
              <w:jc w:val="left"/>
              <w:rPr>
                <w:rFonts w:hint="eastAsia" w:ascii="Times New Roman" w:hAnsi="Times New Roman" w:eastAsia="仿宋_GB2312" w:cs="Times New Roman"/>
                <w:bCs/>
                <w:color w:val="auto"/>
                <w:sz w:val="24"/>
                <w:szCs w:val="24"/>
              </w:rPr>
            </w:pPr>
            <w:r>
              <w:rPr>
                <w:rFonts w:hint="eastAsia" w:ascii="Times New Roman" w:hAnsi="Times New Roman" w:eastAsia="仿宋_GB2312" w:cs="Times New Roman"/>
                <w:bCs/>
                <w:color w:val="auto"/>
                <w:sz w:val="24"/>
                <w:szCs w:val="24"/>
              </w:rPr>
              <w:t>在国家“双碳”目标、电力市场化改革和新型电力系统建设等目标任务下，加快构建适应大规模新能源参与的新型电力系统市场体系面临严峻考验。</w:t>
            </w:r>
            <w:r>
              <w:rPr>
                <w:rFonts w:hint="eastAsia" w:ascii="Times New Roman" w:hAnsi="Times New Roman" w:eastAsia="仿宋_GB2312" w:cs="Times New Roman"/>
                <w:bCs/>
                <w:color w:val="auto"/>
                <w:sz w:val="24"/>
                <w:szCs w:val="24"/>
                <w:lang w:val="en-US" w:eastAsia="zh-CN"/>
              </w:rPr>
              <w:t>该</w:t>
            </w:r>
            <w:r>
              <w:rPr>
                <w:rFonts w:hint="eastAsia" w:ascii="Times New Roman" w:hAnsi="Times New Roman" w:eastAsia="仿宋_GB2312" w:cs="Times New Roman"/>
                <w:bCs/>
                <w:color w:val="auto"/>
                <w:sz w:val="24"/>
                <w:szCs w:val="24"/>
              </w:rPr>
              <w:t>项目历经四年产学研合作攻关突破了绿电市场化交易、绿电消费溯源与存证、绿电风险识别与防范三大关键技术，取得系列成果并实现工程应用，项目成果经鉴定获“整体处于国际领先水平”。项目成果在浙江省率先应用，已累计达成绿电交易电量超150亿千瓦时，市场主体超15000家，创造经济价值超200亿元。项目同时实现了第19届亚运会全部65个赛事场馆100%绿电使用的权威溯源，为首次“碳中和”亚运作出重要贡献。成果还推广应用至全国20余省份，取得了显著的社会效益。</w:t>
            </w:r>
          </w:p>
          <w:p>
            <w:pPr>
              <w:spacing w:line="440" w:lineRule="exact"/>
              <w:ind w:firstLine="480" w:firstLineChars="200"/>
              <w:jc w:val="left"/>
              <w:rPr>
                <w:rStyle w:val="9"/>
                <w:b w:val="0"/>
                <w:color w:val="auto"/>
              </w:rPr>
            </w:pPr>
            <w:r>
              <w:rPr>
                <w:rFonts w:hint="eastAsia" w:ascii="Times New Roman" w:hAnsi="Times New Roman" w:eastAsia="仿宋_GB2312" w:cs="Times New Roman"/>
                <w:bCs/>
                <w:color w:val="auto"/>
                <w:sz w:val="24"/>
                <w:szCs w:val="24"/>
              </w:rPr>
              <w:t>推荐该成果申报浙江省科技进步一等奖。</w:t>
            </w:r>
          </w:p>
        </w:tc>
      </w:tr>
    </w:tbl>
    <w:p>
      <w:pPr>
        <w:pStyle w:val="3"/>
        <w:spacing w:before="0" w:after="0" w:line="700" w:lineRule="exact"/>
        <w:ind w:left="880" w:hanging="880"/>
        <w:jc w:val="center"/>
        <w:rPr>
          <w:rFonts w:eastAsia="方正小标宋简体"/>
          <w:b w:val="0"/>
          <w:color w:val="auto"/>
          <w:sz w:val="36"/>
          <w:szCs w:val="36"/>
          <w:highlight w:val="none"/>
        </w:rPr>
        <w:sectPr>
          <w:pgSz w:w="11906" w:h="16838"/>
          <w:pgMar w:top="1440" w:right="1800" w:bottom="1440" w:left="1800" w:header="851" w:footer="992" w:gutter="0"/>
          <w:cols w:space="425" w:num="1"/>
          <w:docGrid w:type="lines" w:linePitch="312" w:charSpace="0"/>
        </w:sectPr>
      </w:pPr>
      <w:bookmarkStart w:id="0" w:name="_Toc15897"/>
      <w:bookmarkStart w:id="1" w:name="_Toc523884784"/>
      <w:bookmarkStart w:id="2" w:name="_Toc47722399"/>
    </w:p>
    <w:p>
      <w:pPr>
        <w:pStyle w:val="4"/>
        <w:jc w:val="left"/>
        <w:rPr>
          <w:rFonts w:eastAsia="方正黑体简体"/>
          <w:color w:val="auto"/>
          <w:sz w:val="32"/>
          <w:szCs w:val="22"/>
        </w:rPr>
      </w:pPr>
      <w:r>
        <w:rPr>
          <w:rFonts w:hint="eastAsia" w:eastAsia="方正黑体简体"/>
          <w:color w:val="auto"/>
          <w:sz w:val="32"/>
          <w:szCs w:val="22"/>
          <w:lang w:val="en-US" w:eastAsia="zh-CN"/>
        </w:rPr>
        <w:t>附件1</w:t>
      </w:r>
      <w:r>
        <w:rPr>
          <w:rFonts w:eastAsia="方正黑体简体"/>
          <w:color w:val="auto"/>
          <w:sz w:val="32"/>
          <w:szCs w:val="22"/>
        </w:rPr>
        <w:t>、主要知识产权和标准规范目录</w:t>
      </w:r>
    </w:p>
    <w:tbl>
      <w:tblPr>
        <w:tblStyle w:val="7"/>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知识产权</w:t>
            </w:r>
          </w:p>
          <w:p>
            <w:pPr>
              <w:jc w:val="center"/>
              <w:rPr>
                <w:rFonts w:eastAsia="仿宋_GB2312"/>
                <w:color w:val="auto"/>
                <w:sz w:val="24"/>
                <w:szCs w:val="21"/>
              </w:rPr>
            </w:pPr>
            <w:r>
              <w:rPr>
                <w:rFonts w:eastAsia="仿宋_GB2312"/>
                <w:color w:val="auto"/>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国家</w:t>
            </w:r>
          </w:p>
          <w:p>
            <w:pPr>
              <w:jc w:val="center"/>
              <w:rPr>
                <w:rFonts w:eastAsia="仿宋_GB2312"/>
                <w:bCs/>
                <w:snapToGrid w:val="0"/>
                <w:color w:val="auto"/>
                <w:kern w:val="0"/>
                <w:sz w:val="24"/>
                <w:szCs w:val="21"/>
              </w:rPr>
            </w:pPr>
            <w:r>
              <w:rPr>
                <w:rFonts w:eastAsia="仿宋_GB2312"/>
                <w:bCs/>
                <w:snapToGrid w:val="0"/>
                <w:color w:val="auto"/>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授权号</w:t>
            </w:r>
          </w:p>
          <w:p>
            <w:pPr>
              <w:jc w:val="center"/>
              <w:rPr>
                <w:rFonts w:eastAsia="仿宋_GB2312"/>
                <w:color w:val="auto"/>
                <w:sz w:val="24"/>
                <w:szCs w:val="21"/>
              </w:rPr>
            </w:pPr>
            <w:r>
              <w:rPr>
                <w:rFonts w:eastAsia="仿宋_GB2312"/>
                <w:color w:val="auto"/>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tcPr>
          <w:p>
            <w:pPr>
              <w:jc w:val="center"/>
              <w:rPr>
                <w:rFonts w:eastAsia="仿宋_GB2312"/>
                <w:color w:val="auto"/>
                <w:sz w:val="24"/>
                <w:szCs w:val="21"/>
              </w:rPr>
            </w:pPr>
            <w:r>
              <w:rPr>
                <w:rFonts w:eastAsia="仿宋_GB2312"/>
                <w:color w:val="auto"/>
                <w:sz w:val="24"/>
                <w:szCs w:val="21"/>
              </w:rPr>
              <w:t>授权</w:t>
            </w:r>
          </w:p>
          <w:p>
            <w:pPr>
              <w:jc w:val="center"/>
              <w:rPr>
                <w:rFonts w:eastAsia="仿宋_GB2312"/>
                <w:color w:val="auto"/>
                <w:sz w:val="24"/>
                <w:szCs w:val="21"/>
              </w:rPr>
            </w:pPr>
            <w:r>
              <w:rPr>
                <w:rFonts w:eastAsia="仿宋_GB2312"/>
                <w:color w:val="auto"/>
                <w:sz w:val="24"/>
                <w:szCs w:val="21"/>
              </w:rPr>
              <w:t>（标准发布）</w:t>
            </w:r>
          </w:p>
          <w:p>
            <w:pPr>
              <w:jc w:val="center"/>
              <w:rPr>
                <w:rFonts w:eastAsia="仿宋_GB2312"/>
                <w:color w:val="auto"/>
                <w:sz w:val="24"/>
                <w:szCs w:val="21"/>
              </w:rPr>
            </w:pPr>
            <w:r>
              <w:rPr>
                <w:rFonts w:eastAsia="仿宋_GB2312"/>
                <w:color w:val="auto"/>
                <w:sz w:val="24"/>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 w:val="24"/>
                <w:szCs w:val="21"/>
              </w:rPr>
            </w:pPr>
            <w:r>
              <w:rPr>
                <w:rFonts w:eastAsia="仿宋_GB2312"/>
                <w:color w:val="auto"/>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color w:val="auto"/>
                <w:szCs w:val="22"/>
                <w:highlight w:val="none"/>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绿色环境权益价值数据溯源方法及溯源装置</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color w:val="auto"/>
                <w:sz w:val="28"/>
                <w:szCs w:val="28"/>
              </w:rPr>
            </w:pPr>
            <w:r>
              <w:rPr>
                <w:rFonts w:ascii="Calibri" w:hAnsi="Calibri" w:cs="Times New Roman"/>
                <w:color w:val="auto"/>
                <w:szCs w:val="22"/>
                <w:highlight w:val="none"/>
              </w:rPr>
              <w:t>ZL202310256485.X</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2023-05-26</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6002196</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浙江华云信息科技有限公司;浙江电力交易中心有限公司</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徐奇锋;潘巍巍;张燕;王激华;乔松博;夏翔;陈盛慧;俞静;程杰;阮婷婷;骆希;王伟;王苗;雷嘉文</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color w:val="auto"/>
                <w:szCs w:val="22"/>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color w:val="auto"/>
                <w:szCs w:val="22"/>
                <w:highlight w:val="none"/>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适用于绿电市场的风险评估及防护方法</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color w:val="auto"/>
                <w:sz w:val="28"/>
                <w:szCs w:val="28"/>
              </w:rPr>
            </w:pPr>
            <w:r>
              <w:rPr>
                <w:rFonts w:ascii="Calibri" w:hAnsi="Calibri" w:cs="Times New Roman"/>
                <w:color w:val="auto"/>
                <w:szCs w:val="22"/>
                <w:highlight w:val="none"/>
              </w:rPr>
              <w:t>ZL202310463606.8</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2023-07-18</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6149193</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浙江电力交易中心有限公司;浙江大学</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潘巍巍;杨玉强;徐奇锋;乔松博;李知艺;陈昊;俞静;骆希;罗仁杰</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color w:val="auto"/>
                <w:szCs w:val="22"/>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color w:val="auto"/>
                <w:szCs w:val="22"/>
                <w:highlight w:val="none"/>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多场馆绿电溯源数据处理方法及系统</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color w:val="auto"/>
                <w:sz w:val="28"/>
                <w:szCs w:val="28"/>
              </w:rPr>
            </w:pPr>
            <w:r>
              <w:rPr>
                <w:rFonts w:ascii="Calibri" w:hAnsi="Calibri" w:cs="Times New Roman"/>
                <w:color w:val="auto"/>
                <w:szCs w:val="22"/>
                <w:highlight w:val="none"/>
              </w:rPr>
              <w:t>ZL202310727892.4</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2023-09-05</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6296762</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浙江电力交易中心有限公司;浙江华云信息科技有限公司</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徐奇锋;乔松博;庄晓丹; 陈昊;俞静;骆希;陈梦瑶;王伟</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color w:val="auto"/>
                <w:szCs w:val="22"/>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color w:val="auto"/>
                <w:szCs w:val="22"/>
                <w:highlight w:val="none"/>
              </w:rPr>
              <w:t>中电联团体标准</w:t>
            </w:r>
          </w:p>
        </w:tc>
        <w:tc>
          <w:tcPr>
            <w:tcW w:w="2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color w:val="auto"/>
                <w:sz w:val="28"/>
                <w:szCs w:val="28"/>
              </w:rPr>
            </w:pPr>
            <w:r>
              <w:rPr>
                <w:rFonts w:ascii="Calibri" w:hAnsi="Calibri" w:cs="Times New Roman"/>
                <w:color w:val="auto"/>
                <w:szCs w:val="22"/>
                <w:highlight w:val="none"/>
              </w:rPr>
              <w:t>电力区块链隐私计算应用指南</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color w:val="auto"/>
                <w:sz w:val="28"/>
                <w:szCs w:val="28"/>
              </w:rPr>
            </w:pPr>
            <w:r>
              <w:rPr>
                <w:rFonts w:ascii="Calibri" w:hAnsi="Calibri" w:cs="Times New Roman"/>
                <w:color w:val="auto"/>
                <w:szCs w:val="22"/>
                <w:highlight w:val="none"/>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hint="eastAsia" w:ascii="Calibri" w:hAnsi="Calibri" w:cs="Times New Roman"/>
                <w:color w:val="auto"/>
                <w:szCs w:val="22"/>
                <w:highlight w:val="none"/>
              </w:rPr>
              <w:t>T/CEC 745-2023</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color w:val="auto"/>
                <w:szCs w:val="22"/>
                <w:highlight w:val="none"/>
              </w:rPr>
              <w:t>202</w:t>
            </w:r>
            <w:r>
              <w:rPr>
                <w:rFonts w:hint="eastAsia" w:ascii="Calibri" w:hAnsi="Calibri" w:cs="Times New Roman"/>
                <w:color w:val="auto"/>
                <w:szCs w:val="22"/>
                <w:highlight w:val="none"/>
                <w:lang w:val="en-US" w:eastAsia="zh-CN"/>
              </w:rPr>
              <w:t>3</w:t>
            </w:r>
            <w:r>
              <w:rPr>
                <w:rFonts w:ascii="Calibri" w:hAnsi="Calibri" w:cs="Times New Roman"/>
                <w:color w:val="auto"/>
                <w:szCs w:val="22"/>
                <w:highlight w:val="none"/>
              </w:rPr>
              <w:t>-08-24</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color w:val="auto"/>
                <w:szCs w:val="22"/>
                <w:highlight w:val="none"/>
              </w:rPr>
              <w:t>中国电力企业联合会</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hint="eastAsia" w:ascii="Calibri" w:hAnsi="Calibri" w:cs="Times New Roman"/>
                <w:color w:val="auto"/>
                <w:szCs w:val="22"/>
                <w:highlight w:val="none"/>
              </w:rPr>
              <w:t>国网数字科技</w:t>
            </w:r>
            <w:r>
              <w:rPr>
                <w:rFonts w:hint="eastAsia" w:ascii="Calibri" w:hAnsi="Calibri" w:cs="Times New Roman"/>
                <w:color w:val="auto"/>
                <w:szCs w:val="22"/>
                <w:highlight w:val="none"/>
                <w:lang w:val="en-US" w:eastAsia="zh-CN"/>
              </w:rPr>
              <w:t>控</w:t>
            </w:r>
            <w:r>
              <w:rPr>
                <w:rFonts w:hint="eastAsia" w:ascii="Calibri" w:hAnsi="Calibri" w:cs="Times New Roman"/>
                <w:color w:val="auto"/>
                <w:szCs w:val="22"/>
                <w:highlight w:val="none"/>
              </w:rPr>
              <w:t>股有限公司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国网区块链科技（北京）有限公司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中国科学院信息工程研究所</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中国信息通信研究院</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国网山东省电力公司电力科学研究院</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广州链融信息技术有 限公司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国网辽宁省电力有限公司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国网北京市电力公司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国网冀北电力有限公司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国网浙江省电力有限公司杭州供电公司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国网河北省电力有限公司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国网河北省电力有限公司信息通信分公司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国网智能电网研究院有限公司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国家电网公司信息通信分公司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国网河南省电力公司平顶山供电公司</w:t>
            </w:r>
            <w:r>
              <w:rPr>
                <w:rFonts w:hint="eastAsia" w:ascii="Calibri" w:hAnsi="Calibri" w:cs="Times New Roman"/>
                <w:color w:val="auto"/>
                <w:szCs w:val="22"/>
                <w:highlight w:val="none"/>
                <w:lang w:val="en-US" w:eastAsia="zh-CN"/>
              </w:rPr>
              <w:t>;</w:t>
            </w:r>
            <w:r>
              <w:rPr>
                <w:rFonts w:hint="eastAsia" w:ascii="Calibri" w:hAnsi="Calibri" w:cs="Times New Roman"/>
                <w:color w:val="auto"/>
                <w:szCs w:val="22"/>
                <w:highlight w:val="none"/>
              </w:rPr>
              <w:t>北京科技大学</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color w:val="auto"/>
                <w:sz w:val="28"/>
                <w:szCs w:val="28"/>
              </w:rPr>
            </w:pPr>
            <w:r>
              <w:rPr>
                <w:rFonts w:ascii="Calibri" w:hAnsi="Calibri" w:cs="Times New Roman"/>
                <w:color w:val="auto"/>
                <w:szCs w:val="22"/>
                <w:highlight w:val="none"/>
              </w:rPr>
              <w:t>赵丙镇;王栋;蒋炜;李达;宋坤;温婷婷;赵丽花;石竹玉;庞伟伟;张潇丹;陈家玓;姚洪磊;裴庆祺;孙梦谦;袁博;吴因佥;郭庆雷;张文静;杨超;李桐;任帅;陈智雨;杜哲;李香龙;王伟贤;张学森;付金凤;仝翠芝;罗少杰;向新宇;徐川子;樊立波;来益博;赵劭康;赵建利;陈连栋;高丽芳;陈帅;肖文栋</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hint="eastAsia" w:ascii="Calibri" w:hAnsi="Calibri" w:cs="Times New Roman"/>
                <w:color w:val="auto"/>
                <w:szCs w:val="22"/>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bookmarkStart w:id="3" w:name="_GoBack" w:colFirst="8" w:colLast="8"/>
            <w: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t>基于多方绿电聚合交易系统的数据处理方法及装置</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t>中国</w:t>
            </w:r>
          </w:p>
        </w:tc>
        <w:tc>
          <w:tcPr>
            <w:tcW w:w="1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color w:val="auto"/>
                <w:sz w:val="28"/>
                <w:szCs w:val="28"/>
              </w:rPr>
            </w:pPr>
            <w:r>
              <w:t>ZL202310205866.5</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t>2023-08-08</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t>6218720</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t>浙江华云信息科技有限公司</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t>纪德良;俞静;楼杏丹;王伟;吴伟鸿;雷嘉文;孙静静;李坦;余建;白锡强;孔嘉懿;刘兵兵</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color w:val="auto"/>
                <w:szCs w:val="22"/>
                <w:highlight w:val="none"/>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区域用户绿电数据处理方法、系统及存储介质</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color w:val="auto"/>
                <w:sz w:val="28"/>
                <w:szCs w:val="28"/>
              </w:rPr>
            </w:pPr>
            <w:r>
              <w:rPr>
                <w:rFonts w:ascii="Calibri" w:hAnsi="Calibri" w:cs="Times New Roman"/>
                <w:color w:val="auto"/>
                <w:szCs w:val="22"/>
                <w:highlight w:val="none"/>
              </w:rPr>
              <w:t>ZL202311238454.8</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2023-12-26</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6585262</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浙江电力交易中心有限公司;浙江华云信息科技有限公司</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highlight w:val="none"/>
              </w:rPr>
              <w:t>纪德良;俞静;林烨;陈昊;程杰;阮婷婷;陈梦瑶;赵雯;王伟;孙静静</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color w:val="auto"/>
                <w:szCs w:val="22"/>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szCs w:val="22"/>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hint="eastAsia" w:ascii="Calibri" w:hAnsi="Calibri" w:cs="Times New Roman"/>
                <w:szCs w:val="22"/>
              </w:rPr>
              <w:t>基于调峰系数的特高压受端电网调峰能力充裕度判断方法</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color w:val="auto"/>
                <w:sz w:val="28"/>
                <w:szCs w:val="28"/>
              </w:rPr>
            </w:pPr>
            <w:r>
              <w:rPr>
                <w:rFonts w:ascii="Calibri" w:hAnsi="Calibri" w:cs="Times New Roman"/>
                <w:color w:val="auto"/>
                <w:szCs w:val="22"/>
              </w:rPr>
              <w:t>ZL</w:t>
            </w:r>
            <w:r>
              <w:rPr>
                <w:rFonts w:hint="eastAsia" w:ascii="Calibri" w:hAnsi="Calibri" w:cs="Times New Roman"/>
                <w:color w:val="auto"/>
                <w:szCs w:val="22"/>
              </w:rPr>
              <w:t>201911134120.X</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hint="eastAsia" w:ascii="Calibri" w:hAnsi="Calibri" w:cs="Times New Roman"/>
                <w:color w:val="auto"/>
                <w:szCs w:val="22"/>
              </w:rPr>
              <w:t>2021-01-08</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rPr>
              <w:t>4</w:t>
            </w:r>
            <w:r>
              <w:rPr>
                <w:rFonts w:hint="eastAsia" w:ascii="Calibri" w:hAnsi="Calibri" w:cs="Times New Roman"/>
                <w:color w:val="auto"/>
                <w:szCs w:val="22"/>
                <w:lang w:val="en-US" w:eastAsia="zh-CN"/>
              </w:rPr>
              <w:t>198166</w:t>
            </w:r>
          </w:p>
        </w:tc>
        <w:tc>
          <w:tcPr>
            <w:tcW w:w="12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ascii="Calibri" w:hAnsi="Calibri" w:cs="Times New Roman"/>
                <w:color w:val="auto"/>
                <w:szCs w:val="22"/>
              </w:rPr>
              <w:t>国网浙江省电力有限公司;浙江大学</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both"/>
              <w:rPr>
                <w:color w:val="auto"/>
                <w:sz w:val="28"/>
                <w:szCs w:val="28"/>
              </w:rPr>
            </w:pPr>
            <w:r>
              <w:rPr>
                <w:rFonts w:hint="eastAsia" w:ascii="Calibri" w:hAnsi="Calibri" w:cs="Times New Roman"/>
                <w:szCs w:val="22"/>
              </w:rPr>
              <w:t>朱炳铨</w:t>
            </w:r>
            <w:r>
              <w:rPr>
                <w:rFonts w:ascii="Calibri" w:hAnsi="Calibri" w:cs="Times New Roman"/>
                <w:szCs w:val="22"/>
              </w:rPr>
              <w:t>;</w:t>
            </w:r>
            <w:r>
              <w:rPr>
                <w:rFonts w:hint="eastAsia" w:ascii="Calibri" w:hAnsi="Calibri" w:cs="Times New Roman"/>
                <w:szCs w:val="22"/>
              </w:rPr>
              <w:t>吴华华</w:t>
            </w:r>
            <w:r>
              <w:rPr>
                <w:rFonts w:ascii="Calibri" w:hAnsi="Calibri" w:cs="Times New Roman"/>
                <w:szCs w:val="22"/>
              </w:rPr>
              <w:t>;</w:t>
            </w:r>
            <w:r>
              <w:rPr>
                <w:rFonts w:hint="eastAsia" w:ascii="Calibri" w:hAnsi="Calibri" w:cs="Times New Roman"/>
                <w:szCs w:val="22"/>
              </w:rPr>
              <w:t>项中明</w:t>
            </w:r>
            <w:r>
              <w:rPr>
                <w:rFonts w:ascii="Calibri" w:hAnsi="Calibri" w:cs="Times New Roman"/>
                <w:szCs w:val="22"/>
              </w:rPr>
              <w:t>;</w:t>
            </w:r>
            <w:r>
              <w:rPr>
                <w:rFonts w:hint="eastAsia" w:ascii="Calibri" w:hAnsi="Calibri" w:cs="Times New Roman"/>
                <w:szCs w:val="22"/>
              </w:rPr>
              <w:t>沈绍斐</w:t>
            </w:r>
            <w:r>
              <w:rPr>
                <w:rFonts w:ascii="Calibri" w:hAnsi="Calibri" w:cs="Times New Roman"/>
                <w:szCs w:val="22"/>
              </w:rPr>
              <w:t>;</w:t>
            </w:r>
            <w:r>
              <w:rPr>
                <w:rFonts w:hint="eastAsia" w:ascii="Calibri" w:hAnsi="Calibri" w:cs="Times New Roman"/>
                <w:szCs w:val="22"/>
              </w:rPr>
              <w:t>徐立中</w:t>
            </w:r>
            <w:r>
              <w:rPr>
                <w:rFonts w:ascii="Calibri" w:hAnsi="Calibri" w:cs="Times New Roman"/>
                <w:szCs w:val="22"/>
              </w:rPr>
              <w:t>;</w:t>
            </w:r>
            <w:r>
              <w:rPr>
                <w:rFonts w:hint="eastAsia" w:ascii="Calibri" w:hAnsi="Calibri" w:cs="Times New Roman"/>
                <w:szCs w:val="22"/>
              </w:rPr>
              <w:t>张俊</w:t>
            </w:r>
            <w:r>
              <w:rPr>
                <w:rFonts w:ascii="Calibri" w:hAnsi="Calibri" w:cs="Times New Roman"/>
                <w:szCs w:val="22"/>
              </w:rPr>
              <w:t>;</w:t>
            </w:r>
            <w:r>
              <w:rPr>
                <w:rFonts w:hint="eastAsia" w:ascii="Calibri" w:hAnsi="Calibri" w:cs="Times New Roman"/>
                <w:szCs w:val="22"/>
              </w:rPr>
              <w:t>张静</w:t>
            </w:r>
            <w:r>
              <w:rPr>
                <w:rFonts w:ascii="Calibri" w:hAnsi="Calibri" w:cs="Times New Roman"/>
                <w:szCs w:val="22"/>
              </w:rPr>
              <w:t>;</w:t>
            </w:r>
            <w:r>
              <w:rPr>
                <w:rFonts w:hint="eastAsia" w:ascii="Calibri" w:hAnsi="Calibri" w:cs="Times New Roman"/>
                <w:szCs w:val="22"/>
              </w:rPr>
              <w:t>张思</w:t>
            </w:r>
            <w:r>
              <w:rPr>
                <w:rFonts w:ascii="Calibri" w:hAnsi="Calibri" w:cs="Times New Roman"/>
                <w:szCs w:val="22"/>
              </w:rPr>
              <w:t>;</w:t>
            </w:r>
            <w:r>
              <w:rPr>
                <w:rFonts w:hint="eastAsia" w:ascii="Calibri" w:hAnsi="Calibri" w:cs="Times New Roman"/>
                <w:szCs w:val="22"/>
              </w:rPr>
              <w:t>孙文多</w:t>
            </w:r>
            <w:r>
              <w:rPr>
                <w:rFonts w:ascii="Calibri" w:hAnsi="Calibri" w:cs="Times New Roman"/>
                <w:szCs w:val="22"/>
              </w:rPr>
              <w:t>;</w:t>
            </w:r>
            <w:r>
              <w:rPr>
                <w:rFonts w:hint="eastAsia" w:ascii="Calibri" w:hAnsi="Calibri" w:cs="Times New Roman"/>
                <w:szCs w:val="22"/>
              </w:rPr>
              <w:t>邓晖</w:t>
            </w:r>
            <w:r>
              <w:rPr>
                <w:rFonts w:ascii="Calibri" w:hAnsi="Calibri" w:cs="Times New Roman"/>
                <w:szCs w:val="22"/>
              </w:rPr>
              <w:t>;</w:t>
            </w:r>
            <w:r>
              <w:rPr>
                <w:rFonts w:hint="eastAsia" w:ascii="Calibri" w:hAnsi="Calibri" w:cs="Times New Roman"/>
                <w:szCs w:val="22"/>
              </w:rPr>
              <w:t>乔松博</w:t>
            </w:r>
            <w:r>
              <w:rPr>
                <w:rFonts w:ascii="Calibri" w:hAnsi="Calibri" w:cs="Times New Roman"/>
                <w:szCs w:val="22"/>
              </w:rPr>
              <w:t>;</w:t>
            </w:r>
            <w:r>
              <w:rPr>
                <w:rFonts w:hint="eastAsia" w:ascii="Calibri" w:hAnsi="Calibri" w:cs="Times New Roman"/>
                <w:szCs w:val="22"/>
              </w:rPr>
              <w:t>尹逊虎</w:t>
            </w:r>
            <w:r>
              <w:rPr>
                <w:rFonts w:ascii="Calibri" w:hAnsi="Calibri" w:cs="Times New Roman"/>
                <w:szCs w:val="22"/>
              </w:rPr>
              <w:t>;</w:t>
            </w:r>
            <w:r>
              <w:rPr>
                <w:rFonts w:hint="eastAsia" w:ascii="Calibri" w:hAnsi="Calibri" w:cs="Times New Roman"/>
                <w:szCs w:val="22"/>
              </w:rPr>
              <w:t>周晓鸣</w:t>
            </w:r>
            <w:r>
              <w:rPr>
                <w:rFonts w:ascii="Calibri" w:hAnsi="Calibri" w:cs="Times New Roman"/>
                <w:szCs w:val="22"/>
              </w:rPr>
              <w:t>;</w:t>
            </w:r>
            <w:r>
              <w:rPr>
                <w:rFonts w:hint="eastAsia" w:ascii="Calibri" w:hAnsi="Calibri" w:cs="Times New Roman"/>
                <w:szCs w:val="22"/>
              </w:rPr>
              <w:t>丁一</w:t>
            </w:r>
          </w:p>
        </w:tc>
        <w:tc>
          <w:tcPr>
            <w:tcW w:w="22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 w:val="28"/>
                <w:szCs w:val="28"/>
              </w:rPr>
            </w:pPr>
            <w:r>
              <w:rPr>
                <w:rFonts w:ascii="Calibri" w:hAnsi="Calibri" w:cs="Times New Roman"/>
                <w:szCs w:val="22"/>
              </w:rPr>
              <w:t>有效</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577"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992"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65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1213"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c>
          <w:tcPr>
            <w:tcW w:w="2215" w:type="dxa"/>
            <w:tcBorders>
              <w:top w:val="single" w:color="auto" w:sz="4" w:space="0"/>
              <w:left w:val="single" w:color="auto" w:sz="4" w:space="0"/>
              <w:bottom w:val="single" w:color="auto" w:sz="4" w:space="0"/>
              <w:right w:val="single" w:color="auto" w:sz="4" w:space="0"/>
            </w:tcBorders>
          </w:tcPr>
          <w:p>
            <w:pPr>
              <w:rPr>
                <w:color w:val="auto"/>
                <w:sz w:val="28"/>
                <w:szCs w:val="28"/>
              </w:rPr>
            </w:pPr>
          </w:p>
        </w:tc>
      </w:tr>
    </w:tbl>
    <w:p>
      <w:pPr>
        <w:pStyle w:val="3"/>
        <w:spacing w:before="0" w:after="0" w:line="700" w:lineRule="exact"/>
        <w:ind w:left="880" w:hanging="880"/>
        <w:jc w:val="center"/>
        <w:rPr>
          <w:rFonts w:eastAsia="方正小标宋简体"/>
          <w:b w:val="0"/>
          <w:color w:val="auto"/>
          <w:sz w:val="36"/>
          <w:szCs w:val="36"/>
          <w:highlight w:val="none"/>
        </w:rPr>
        <w:sectPr>
          <w:pgSz w:w="16838" w:h="11906" w:orient="landscape"/>
          <w:pgMar w:top="1800" w:right="1440" w:bottom="1800" w:left="1440" w:header="851" w:footer="992" w:gutter="0"/>
          <w:cols w:space="425" w:num="1"/>
          <w:docGrid w:type="lines" w:linePitch="312" w:charSpace="0"/>
        </w:sectPr>
      </w:pPr>
    </w:p>
    <w:p>
      <w:pPr>
        <w:pStyle w:val="4"/>
        <w:jc w:val="left"/>
        <w:rPr>
          <w:rFonts w:eastAsia="方正黑体简体"/>
          <w:color w:val="auto"/>
          <w:sz w:val="32"/>
          <w:szCs w:val="22"/>
        </w:rPr>
      </w:pPr>
      <w:r>
        <w:rPr>
          <w:rFonts w:hint="eastAsia" w:eastAsia="方正黑体简体"/>
          <w:color w:val="auto"/>
          <w:sz w:val="32"/>
          <w:szCs w:val="22"/>
          <w:lang w:val="en-US" w:eastAsia="zh-CN"/>
        </w:rPr>
        <w:t>附件2</w:t>
      </w:r>
      <w:r>
        <w:rPr>
          <w:rFonts w:eastAsia="方正黑体简体"/>
          <w:color w:val="auto"/>
          <w:sz w:val="32"/>
          <w:szCs w:val="22"/>
        </w:rPr>
        <w:t>、代表性论文专著目录</w:t>
      </w:r>
    </w:p>
    <w:tbl>
      <w:tblPr>
        <w:tblStyle w:val="7"/>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pPr>
              <w:jc w:val="center"/>
              <w:rPr>
                <w:rFonts w:eastAsia="仿宋_GB2312"/>
                <w:color w:val="auto"/>
                <w:sz w:val="24"/>
              </w:rPr>
            </w:pPr>
            <w:r>
              <w:rPr>
                <w:rFonts w:eastAsia="仿宋_GB2312"/>
                <w:color w:val="auto"/>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color w:val="auto"/>
                <w:sz w:val="24"/>
              </w:rPr>
            </w:pPr>
            <w:r>
              <w:rPr>
                <w:rFonts w:eastAsia="仿宋_GB2312"/>
                <w:color w:val="auto"/>
                <w:sz w:val="24"/>
              </w:rPr>
              <w:t>年卷</w:t>
            </w:r>
          </w:p>
          <w:p>
            <w:pPr>
              <w:jc w:val="center"/>
              <w:rPr>
                <w:rFonts w:eastAsia="仿宋_GB2312"/>
                <w:color w:val="auto"/>
                <w:szCs w:val="21"/>
              </w:rPr>
            </w:pPr>
            <w:r>
              <w:rPr>
                <w:rFonts w:eastAsia="仿宋_GB2312"/>
                <w:color w:val="auto"/>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color w:val="auto"/>
                <w:sz w:val="24"/>
              </w:rPr>
            </w:pPr>
            <w:r>
              <w:rPr>
                <w:rFonts w:eastAsia="仿宋_GB2312"/>
                <w:color w:val="auto"/>
                <w:sz w:val="24"/>
              </w:rPr>
              <w:t>发表</w:t>
            </w:r>
          </w:p>
          <w:p>
            <w:pPr>
              <w:jc w:val="center"/>
              <w:rPr>
                <w:rFonts w:eastAsia="仿宋_GB2312"/>
                <w:color w:val="auto"/>
                <w:sz w:val="24"/>
              </w:rPr>
            </w:pPr>
            <w:r>
              <w:rPr>
                <w:rFonts w:eastAsia="仿宋_GB2312"/>
                <w:color w:val="auto"/>
                <w:sz w:val="24"/>
              </w:rPr>
              <w:t>时间</w:t>
            </w:r>
          </w:p>
          <w:p>
            <w:pPr>
              <w:jc w:val="center"/>
              <w:rPr>
                <w:rFonts w:eastAsia="仿宋_GB2312"/>
                <w:color w:val="auto"/>
                <w:sz w:val="24"/>
              </w:rPr>
            </w:pPr>
            <w:r>
              <w:rPr>
                <w:rFonts w:eastAsia="仿宋_GB2312"/>
                <w:color w:val="auto"/>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jc w:val="center"/>
              <w:rPr>
                <w:rFonts w:eastAsia="仿宋_GB2312"/>
                <w:color w:val="auto"/>
                <w:sz w:val="24"/>
              </w:rPr>
            </w:pPr>
            <w:r>
              <w:rPr>
                <w:rFonts w:eastAsia="仿宋_GB2312"/>
                <w:color w:val="auto"/>
                <w:sz w:val="24"/>
              </w:rPr>
              <w:t>他引</w:t>
            </w:r>
          </w:p>
          <w:p>
            <w:pPr>
              <w:jc w:val="center"/>
              <w:rPr>
                <w:rFonts w:eastAsia="仿宋_GB2312"/>
                <w:color w:val="auto"/>
                <w:sz w:val="24"/>
              </w:rPr>
            </w:pPr>
            <w:r>
              <w:rPr>
                <w:rFonts w:eastAsia="仿宋_GB2312"/>
                <w:color w:val="auto"/>
                <w:sz w:val="24"/>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color w:val="auto"/>
                <w:szCs w:val="21"/>
              </w:rPr>
            </w:pPr>
            <w:r>
              <w:rPr>
                <w:rFonts w:ascii="Calibri" w:hAnsi="Calibri" w:cs="Times New Roman"/>
                <w:color w:val="auto"/>
                <w:szCs w:val="22"/>
              </w:rPr>
              <w:t>徐奇锋;潘巍巍;乔松博;李知艺;罗仁杰</w:t>
            </w:r>
          </w:p>
        </w:tc>
        <w:tc>
          <w:tcPr>
            <w:tcW w:w="3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eastAsia="宋体"/>
                <w:color w:val="auto"/>
                <w:szCs w:val="21"/>
                <w:lang w:val="en-US" w:eastAsia="zh-CN"/>
              </w:rPr>
            </w:pPr>
            <w:r>
              <w:rPr>
                <w:rFonts w:ascii="Calibri" w:hAnsi="Calibri" w:cs="Times New Roman"/>
                <w:color w:val="auto"/>
                <w:szCs w:val="22"/>
              </w:rPr>
              <w:t>促进环境价值实现的绿电双账户管理机制及可信交易方法</w:t>
            </w:r>
            <w:r>
              <w:rPr>
                <w:rFonts w:hint="eastAsia" w:ascii="Calibri" w:hAnsi="Calibri" w:cs="Times New Roman"/>
                <w:color w:val="auto"/>
                <w:szCs w:val="22"/>
                <w:lang w:val="en-US" w:eastAsia="zh-CN"/>
              </w:rPr>
              <w:t>/电力系统自动化</w:t>
            </w:r>
          </w:p>
        </w:tc>
        <w:tc>
          <w:tcPr>
            <w:tcW w:w="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Calibri" w:hAnsi="Calibri" w:cs="Times New Roman"/>
                <w:color w:val="auto"/>
                <w:szCs w:val="22"/>
              </w:rPr>
            </w:pPr>
            <w:r>
              <w:rPr>
                <w:rFonts w:hint="eastAsia" w:ascii="Calibri" w:hAnsi="Calibri" w:cs="Times New Roman"/>
                <w:color w:val="auto"/>
                <w:szCs w:val="22"/>
              </w:rPr>
              <w:t>11期，48卷，页码37-45</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color w:val="auto"/>
                <w:sz w:val="24"/>
                <w:lang w:val="en-US"/>
              </w:rPr>
            </w:pPr>
            <w:r>
              <w:rPr>
                <w:rFonts w:ascii="Calibri" w:hAnsi="Calibri" w:cs="Times New Roman"/>
                <w:color w:val="auto"/>
                <w:szCs w:val="22"/>
              </w:rPr>
              <w:t>202</w:t>
            </w:r>
            <w:r>
              <w:rPr>
                <w:rFonts w:hint="eastAsia" w:ascii="Calibri" w:hAnsi="Calibri" w:cs="Times New Roman"/>
                <w:color w:val="auto"/>
                <w:szCs w:val="22"/>
                <w:lang w:val="en-US" w:eastAsia="zh-CN"/>
              </w:rPr>
              <w:t>4年6月</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color w:val="auto"/>
                <w:szCs w:val="21"/>
              </w:rPr>
            </w:pPr>
            <w:r>
              <w:rPr>
                <w:rFonts w:ascii="Calibri" w:hAnsi="Calibri" w:cs="Times New Roman"/>
                <w:color w:val="auto"/>
                <w:szCs w:val="22"/>
              </w:rPr>
              <w:t>张燕;乔松博;徐奇锋;俞静</w:t>
            </w:r>
          </w:p>
        </w:tc>
        <w:tc>
          <w:tcPr>
            <w:tcW w:w="3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default"/>
                <w:color w:val="auto"/>
                <w:szCs w:val="21"/>
                <w:lang w:val="en-US"/>
              </w:rPr>
            </w:pPr>
            <w:r>
              <w:rPr>
                <w:rFonts w:ascii="Calibri" w:hAnsi="Calibri" w:cs="Times New Roman"/>
                <w:color w:val="auto"/>
                <w:szCs w:val="22"/>
              </w:rPr>
              <w:t>基于纳什议价理论的分布式绿色电力交易优化</w:t>
            </w:r>
            <w:r>
              <w:rPr>
                <w:rFonts w:hint="eastAsia" w:ascii="Calibri" w:hAnsi="Calibri" w:cs="Times New Roman"/>
                <w:color w:val="auto"/>
                <w:szCs w:val="22"/>
                <w:lang w:val="en-US" w:eastAsia="zh-CN"/>
              </w:rPr>
              <w:t>分析/中国电力</w:t>
            </w:r>
          </w:p>
        </w:tc>
        <w:tc>
          <w:tcPr>
            <w:tcW w:w="9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ascii="Calibri" w:hAnsi="Calibri" w:cs="Times New Roman"/>
                <w:color w:val="auto"/>
                <w:szCs w:val="22"/>
              </w:rPr>
            </w:pPr>
            <w:r>
              <w:rPr>
                <w:rFonts w:hint="eastAsia" w:ascii="Calibri" w:hAnsi="Calibri" w:cs="Times New Roman"/>
                <w:color w:val="auto"/>
                <w:szCs w:val="22"/>
              </w:rPr>
              <w:t>12期，55卷，页码168-178</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eastAsia="宋体"/>
                <w:color w:val="auto"/>
                <w:szCs w:val="21"/>
                <w:lang w:eastAsia="zh-CN"/>
              </w:rPr>
            </w:pPr>
            <w:r>
              <w:rPr>
                <w:rFonts w:ascii="Calibri" w:hAnsi="Calibri" w:cs="Times New Roman"/>
                <w:color w:val="auto"/>
                <w:szCs w:val="22"/>
              </w:rPr>
              <w:t>2022</w:t>
            </w:r>
            <w:r>
              <w:rPr>
                <w:rFonts w:hint="eastAsia" w:ascii="Calibri" w:hAnsi="Calibri" w:cs="Times New Roman"/>
                <w:color w:val="auto"/>
                <w:szCs w:val="22"/>
                <w:lang w:val="en-US" w:eastAsia="zh-CN"/>
              </w:rPr>
              <w:t>年</w:t>
            </w:r>
            <w:r>
              <w:rPr>
                <w:rFonts w:ascii="Calibri" w:hAnsi="Calibri" w:cs="Times New Roman"/>
                <w:color w:val="auto"/>
                <w:szCs w:val="22"/>
              </w:rPr>
              <w:t>1</w:t>
            </w:r>
            <w:r>
              <w:rPr>
                <w:rFonts w:hint="eastAsia" w:ascii="Calibri" w:hAnsi="Calibri" w:cs="Times New Roman"/>
                <w:color w:val="auto"/>
                <w:szCs w:val="22"/>
                <w:lang w:val="en-US" w:eastAsia="zh-CN"/>
              </w:rPr>
              <w:t>2月</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color w:val="auto"/>
                <w:szCs w:val="21"/>
              </w:rPr>
            </w:pPr>
            <w:r>
              <w:rPr>
                <w:rFonts w:ascii="Calibri" w:hAnsi="Calibri" w:cs="Times New Roman"/>
                <w:color w:val="auto"/>
                <w:szCs w:val="22"/>
              </w:rPr>
              <w:t>王珂珂;牛东晓;许晓敏</w:t>
            </w:r>
          </w:p>
        </w:tc>
        <w:tc>
          <w:tcPr>
            <w:tcW w:w="35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hint="eastAsia" w:eastAsia="宋体"/>
                <w:color w:val="auto"/>
                <w:szCs w:val="21"/>
                <w:lang w:val="en-US" w:eastAsia="zh-CN"/>
              </w:rPr>
            </w:pPr>
            <w:r>
              <w:rPr>
                <w:rFonts w:ascii="Calibri" w:hAnsi="Calibri" w:cs="Times New Roman"/>
                <w:color w:val="auto"/>
                <w:szCs w:val="22"/>
              </w:rPr>
              <w:t>计及新能源的电力现货市场交易优化管理</w:t>
            </w:r>
            <w:r>
              <w:rPr>
                <w:rFonts w:hint="eastAsia" w:ascii="Calibri" w:hAnsi="Calibri" w:cs="Times New Roman"/>
                <w:color w:val="auto"/>
                <w:szCs w:val="22"/>
                <w:lang w:val="en-US" w:eastAsia="zh-CN"/>
              </w:rPr>
              <w:t>/中国电力出版社</w:t>
            </w:r>
          </w:p>
        </w:tc>
        <w:tc>
          <w:tcPr>
            <w:tcW w:w="963" w:type="dxa"/>
            <w:tcBorders>
              <w:top w:val="single" w:color="auto" w:sz="6" w:space="0"/>
              <w:left w:val="single" w:color="auto" w:sz="6" w:space="0"/>
              <w:bottom w:val="single" w:color="auto" w:sz="6" w:space="0"/>
              <w:right w:val="single" w:color="auto" w:sz="6" w:space="0"/>
            </w:tcBorders>
            <w:vAlign w:val="center"/>
          </w:tcPr>
          <w:p>
            <w:pPr>
              <w:rPr>
                <w:rFonts w:hint="eastAsia" w:eastAsia="宋体"/>
                <w:color w:val="auto"/>
                <w:szCs w:val="21"/>
                <w:lang w:val="en-US" w:eastAsia="zh-CN"/>
              </w:rPr>
            </w:pPr>
            <w:r>
              <w:rPr>
                <w:rFonts w:hint="eastAsia"/>
                <w:color w:val="auto"/>
                <w:szCs w:val="21"/>
                <w:lang w:val="en-US" w:eastAsia="zh-CN"/>
              </w:rPr>
              <w:t>/</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eastAsia="宋体"/>
                <w:color w:val="auto"/>
                <w:szCs w:val="21"/>
                <w:lang w:val="en-US" w:eastAsia="zh-CN"/>
              </w:rPr>
            </w:pPr>
            <w:r>
              <w:rPr>
                <w:rFonts w:ascii="Calibri" w:hAnsi="Calibri" w:cs="Times New Roman"/>
                <w:color w:val="auto"/>
                <w:szCs w:val="22"/>
              </w:rPr>
              <w:t>2022</w:t>
            </w:r>
            <w:r>
              <w:rPr>
                <w:rFonts w:hint="eastAsia" w:ascii="Calibri" w:hAnsi="Calibri" w:cs="Times New Roman"/>
                <w:color w:val="auto"/>
                <w:szCs w:val="22"/>
                <w:lang w:val="en-US" w:eastAsia="zh-CN"/>
              </w:rPr>
              <w:t>年</w:t>
            </w:r>
            <w:r>
              <w:rPr>
                <w:rFonts w:ascii="Calibri" w:hAnsi="Calibri" w:cs="Times New Roman"/>
                <w:color w:val="auto"/>
                <w:szCs w:val="22"/>
              </w:rPr>
              <w:t>8</w:t>
            </w:r>
            <w:r>
              <w:rPr>
                <w:rFonts w:hint="eastAsia" w:ascii="Calibri" w:hAnsi="Calibri" w:cs="Times New Roman"/>
                <w:color w:val="auto"/>
                <w:szCs w:val="22"/>
                <w:lang w:val="en-US" w:eastAsia="zh-CN"/>
              </w:rPr>
              <w:t>月</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color w:val="auto"/>
                <w:szCs w:val="21"/>
              </w:rPr>
            </w:pPr>
          </w:p>
        </w:tc>
        <w:tc>
          <w:tcPr>
            <w:tcW w:w="3571"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63" w:type="dxa"/>
            <w:tcBorders>
              <w:top w:val="single" w:color="auto" w:sz="6" w:space="0"/>
              <w:left w:val="single" w:color="auto" w:sz="6" w:space="0"/>
              <w:bottom w:val="single" w:color="auto" w:sz="6" w:space="0"/>
              <w:right w:val="single" w:color="auto" w:sz="6" w:space="0"/>
            </w:tcBorders>
            <w:vAlign w:val="center"/>
          </w:tcPr>
          <w:p>
            <w:pPr>
              <w:rPr>
                <w:color w:val="auto"/>
                <w:szCs w:val="21"/>
              </w:rPr>
            </w:pPr>
          </w:p>
        </w:tc>
        <w:tc>
          <w:tcPr>
            <w:tcW w:w="993"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right"/>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pPr>
              <w:jc w:val="right"/>
              <w:rPr>
                <w:color w:val="auto"/>
                <w:szCs w:val="21"/>
              </w:rPr>
            </w:pPr>
            <w:r>
              <w:rPr>
                <w:color w:val="auto"/>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pPr>
              <w:jc w:val="center"/>
              <w:rPr>
                <w:rFonts w:hint="default" w:eastAsia="宋体"/>
                <w:color w:val="auto"/>
                <w:szCs w:val="21"/>
                <w:lang w:val="en-US" w:eastAsia="zh-CN"/>
              </w:rPr>
            </w:pPr>
            <w:r>
              <w:rPr>
                <w:rFonts w:hint="eastAsia"/>
                <w:color w:val="auto"/>
                <w:szCs w:val="21"/>
                <w:lang w:val="en-US" w:eastAsia="zh-CN"/>
              </w:rPr>
              <w:t>19</w:t>
            </w:r>
          </w:p>
        </w:tc>
      </w:tr>
    </w:tbl>
    <w:p>
      <w:pPr>
        <w:rPr>
          <w:color w:val="auto"/>
        </w:rPr>
      </w:pPr>
    </w:p>
    <w:bookmarkEnd w:id="0"/>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687E"/>
    <w:rsid w:val="01827764"/>
    <w:rsid w:val="05886F44"/>
    <w:rsid w:val="06D70CE7"/>
    <w:rsid w:val="078C79B2"/>
    <w:rsid w:val="0B6167D9"/>
    <w:rsid w:val="0D245C73"/>
    <w:rsid w:val="0D2B346A"/>
    <w:rsid w:val="0EAE2C2D"/>
    <w:rsid w:val="0F2208C1"/>
    <w:rsid w:val="10506F86"/>
    <w:rsid w:val="14B95FCD"/>
    <w:rsid w:val="1693164C"/>
    <w:rsid w:val="18CB1D0B"/>
    <w:rsid w:val="19A6250F"/>
    <w:rsid w:val="1AE278CF"/>
    <w:rsid w:val="1D425623"/>
    <w:rsid w:val="1E021F16"/>
    <w:rsid w:val="1E184DD9"/>
    <w:rsid w:val="20233589"/>
    <w:rsid w:val="21257869"/>
    <w:rsid w:val="232E0CD7"/>
    <w:rsid w:val="24586CC1"/>
    <w:rsid w:val="26DA170D"/>
    <w:rsid w:val="27716276"/>
    <w:rsid w:val="27A409F3"/>
    <w:rsid w:val="2A987F4B"/>
    <w:rsid w:val="2A9B5F8A"/>
    <w:rsid w:val="323078F2"/>
    <w:rsid w:val="37F37241"/>
    <w:rsid w:val="39086A00"/>
    <w:rsid w:val="3919706C"/>
    <w:rsid w:val="3E252FF6"/>
    <w:rsid w:val="40E8605A"/>
    <w:rsid w:val="48137A53"/>
    <w:rsid w:val="4A2D0F92"/>
    <w:rsid w:val="4C315DC0"/>
    <w:rsid w:val="4F29154B"/>
    <w:rsid w:val="4F4D0318"/>
    <w:rsid w:val="53A73647"/>
    <w:rsid w:val="54FF4D14"/>
    <w:rsid w:val="5A8C7439"/>
    <w:rsid w:val="5BE34EAB"/>
    <w:rsid w:val="5C654446"/>
    <w:rsid w:val="5F0D5392"/>
    <w:rsid w:val="60C564E5"/>
    <w:rsid w:val="61485E97"/>
    <w:rsid w:val="687F3EE4"/>
    <w:rsid w:val="6A8C3672"/>
    <w:rsid w:val="6B6B2D5D"/>
    <w:rsid w:val="6C221C1F"/>
    <w:rsid w:val="708544C4"/>
    <w:rsid w:val="730F4DCC"/>
    <w:rsid w:val="785B168A"/>
    <w:rsid w:val="79BB054E"/>
    <w:rsid w:val="7A25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widowControl/>
      <w:spacing w:before="340" w:after="330" w:line="578" w:lineRule="auto"/>
      <w:jc w:val="left"/>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napToGrid w:val="0"/>
      <w:spacing w:afterLines="0" w:afterAutospacing="0" w:line="240" w:lineRule="auto"/>
      <w:jc w:val="both"/>
    </w:pPr>
    <w:rPr>
      <w:rFonts w:ascii="Calibri" w:hAnsi="Calibri" w:eastAsia="宋体" w:cs="Times New Roman"/>
      <w:kern w:val="2"/>
      <w:sz w:val="21"/>
      <w:szCs w:val="22"/>
      <w:lang w:val="en-US" w:eastAsia="zh-CN" w:bidi="ar-SA"/>
    </w:rPr>
  </w:style>
  <w:style w:type="paragraph" w:styleId="4">
    <w:name w:val="annotation text"/>
    <w:basedOn w:val="1"/>
    <w:semiHidden/>
    <w:unhideWhenUsed/>
    <w:qFormat/>
    <w:uiPriority w:val="99"/>
    <w:pPr>
      <w:widowControl/>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2024-07-03T12:54:00Z</dcterms:created>
  <dc:creator>T480s</dc:creator>
  <cp:lastModifiedBy>huayun</cp:lastModifiedBy>
  <dcterms:modified xsi:type="dcterms:W3CDTF">2024-08-13T05:52:02Z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